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drawing>
          <wp:inline distT="0" distB="0" distL="0" distR="0">
            <wp:extent cx="285750" cy="285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rFonts w:ascii="Consolas" w:cs="Consolas" w:eastAsia="Consolas" w:hAnsi="Consolas"/>
          <w:b/>
          <w:bCs/>
          <w:color w:val="191A1C"/>
          <w:sz w:val="40"/>
          <w:szCs w:val="40"/>
        </w:rPr>
        <w:t xml:space="preserve">Акт № 214-08/26</w:t>
      </w:r>
    </w:p>
    <w:p>
      <w:pPr>
        <w:pBdr>
          <w:bottom w:val="single" w:color="A8A8A4" w:sz="8"/>
        </w:pBdr>
        <w:spacing w:after="280"/>
      </w:pPr>
      <w:r>
        <w:rPr>
          <w:rFonts w:ascii="Consolas" w:cs="Consolas" w:eastAsia="Consolas" w:hAnsi="Consolas"/>
          <w:color w:val="75777D"/>
          <w:sz w:val="18"/>
          <w:szCs w:val="18"/>
        </w:rPr>
        <w:t xml:space="preserve">до Договору № 214-08/26 · м. Київ · 19 серпня 2026</w:t>
      </w:r>
    </w:p>
    <w:p>
      <w:pPr>
        <w:spacing w:after="200" w:line="30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ТОВ "Друкарня "Верстат" (Виконавець) передало, а ТОВ "Читальня" (Замовник) прийняло такі послуги:</w:t>
      </w:r>
    </w:p>
    <w:tbl>
      <w:tblPr>
        <w:tblW w:type="dxa" w:w="10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1500"/>
        <w:gridCol w:w="1700"/>
        <w:gridCol w:w="1500"/>
        <w:gridCol w:w="1600"/>
      </w:tblGrid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Послуга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Формат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Наклад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Ціна, грн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A8A8A4" w:sz="8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75777D"/>
                <w:sz w:val="17"/>
                <w:szCs w:val="17"/>
              </w:rPr>
              <w:t xml:space="preserve">Сума, грн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Друк каталогу "Верстат і час"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А4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1 200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72,00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86 400,00</w:t>
            </w:r>
          </w:p>
        </w:tc>
      </w:tr>
      <w:tr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Друк візитівок, партія 14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91A1C"/>
                <w:sz w:val="20"/>
                <w:szCs w:val="20"/>
              </w:rPr>
              <w:t xml:space="preserve">90×50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4 000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3,00</w:t>
            </w:r>
          </w:p>
        </w:tc>
        <w:tc>
          <w:tcPr>
            <w:tcW w:type="auto" w:w="0"/>
            <w:tcBorders>
              <w:top w:val="none" w:color="FFFFFF" w:sz="0"/>
              <w:left w:val="none" w:color="FFFFFF" w:sz="0"/>
              <w:bottom w:val="single" w:color="D9D9D6" w:sz="4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191A1C"/>
                <w:sz w:val="19"/>
                <w:szCs w:val="19"/>
              </w:rPr>
              <w:t xml:space="preserve">12 000,00</w:t>
            </w:r>
          </w:p>
        </w:tc>
      </w:tr>
      <w:tr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Разом без ПДВ</w:t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lef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/>
            </w:r>
          </w:p>
        </w:tc>
        <w:tc>
          <w:tcPr>
            <w:tcW w:type="auto" w:w="0"/>
            <w:tcBorders>
              <w:top w:val="single" w:color="A8A8A4" w:sz="8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98 400,00</w:t>
            </w:r>
          </w:p>
        </w:tc>
      </w:tr>
    </w:tbl>
    <w:p>
      <w:pPr>
        <w:spacing w:after="120" w:before="200" w:line="30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Послуги надано в повному обсязі та у строк. Сторони претензій не мають. Акт є підставою для остаточного розрахунку за п. 3.2 Договору.</w:t>
      </w:r>
    </w:p>
    <w:p>
      <w:pPr>
        <w:spacing w:after="60" w:before="120"/>
      </w:pPr>
      <w:r>
        <w:rPr>
          <w:rFonts w:ascii="Calibri" w:cs="Calibri" w:eastAsia="Calibri" w:hAnsi="Calibri"/>
          <w:color w:val="191A1C"/>
          <w:sz w:val="22"/>
          <w:szCs w:val="22"/>
        </w:rPr>
        <w:t xml:space="preserve">До сплати: </w:t>
      </w:r>
      <w:r>
        <w:rPr>
          <w:rFonts w:ascii="Consolas" w:cs="Consolas" w:eastAsia="Consolas" w:hAnsi="Consolas"/>
          <w:b/>
          <w:bCs/>
          <w:color w:val="191A1C"/>
          <w:sz w:val="22"/>
          <w:szCs w:val="22"/>
        </w:rPr>
        <w:t xml:space="preserve">49 200,00 грн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(з урахуванням авансу </w:t>
      </w:r>
      <w:r>
        <w:rPr>
          <w:rFonts w:ascii="Consolas" w:cs="Consolas" w:eastAsia="Consolas" w:hAnsi="Consolas"/>
          <w:color w:val="191A1C"/>
          <w:sz w:val="20"/>
          <w:szCs w:val="20"/>
        </w:rPr>
        <w:t xml:space="preserve">49 200,00</w:t>
      </w:r>
      <w:r>
        <w:rPr>
          <w:rFonts w:ascii="Calibri" w:cs="Calibri" w:eastAsia="Calibri" w:hAnsi="Calibri"/>
          <w:color w:val="191A1C"/>
          <w:sz w:val="22"/>
          <w:szCs w:val="22"/>
        </w:rPr>
        <w:t xml:space="preserve"> грн).</w:t>
      </w:r>
    </w:p>
    <w:tbl>
      <w:tblPr>
        <w:tblW w:type="dxa" w:w="10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00"/>
        <w:gridCol w:w="5100"/>
      </w:tblGrid>
      <w:tr>
        <w:tc>
          <w:tcPr>
            <w:tcW w:type="dxa" w:w="5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Виконавець</w:t>
            </w:r>
          </w:p>
          <w:p>
            <w:pPr>
              <w:spacing w:after="30" w:before="200"/>
            </w:pPr>
            <w:r>
              <w:rPr>
                <w:rFonts w:ascii="Calibri" w:cs="Calibri" w:eastAsia="Calibri" w:hAnsi="Calibri"/>
                <w:color w:val="191A1C"/>
                <w:sz w:val="22"/>
                <w:szCs w:val="22"/>
              </w:rPr>
              <w:t xml:space="preserve">__________________</w:t>
            </w:r>
          </w:p>
          <w:p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Коваленко О. І.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Consolas" w:cs="Consolas" w:eastAsia="Consolas" w:hAnsi="Consolas"/>
                <w:b/>
                <w:bCs/>
                <w:color w:val="191A1C"/>
                <w:sz w:val="19"/>
                <w:szCs w:val="19"/>
              </w:rPr>
              <w:t xml:space="preserve">Замовник</w:t>
            </w:r>
          </w:p>
          <w:p>
            <w:pPr>
              <w:spacing w:after="30" w:before="200"/>
            </w:pPr>
            <w:r>
              <w:rPr>
                <w:rFonts w:ascii="Calibri" w:cs="Calibri" w:eastAsia="Calibri" w:hAnsi="Calibri"/>
                <w:color w:val="191A1C"/>
                <w:sz w:val="22"/>
                <w:szCs w:val="22"/>
              </w:rPr>
              <w:t xml:space="preserve">__________________</w:t>
            </w:r>
          </w:p>
          <w:p>
            <w:r>
              <w:rPr>
                <w:rFonts w:ascii="Consolas" w:cs="Consolas" w:eastAsia="Consolas" w:hAnsi="Consolas"/>
                <w:color w:val="75777D"/>
                <w:sz w:val="18"/>
                <w:szCs w:val="18"/>
              </w:rPr>
              <w:t xml:space="preserve">Романюк І. П.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onsolas" w:cs="Consolas" w:eastAsia="Consolas" w:hAnsi="Consolas"/>
        <w:color w:val="75777D"/>
        <w:sz w:val="18"/>
        <w:szCs w:val="18"/>
      </w:rPr>
      <w:fldChar w:fldCharType="begin"/>
      <w:instrText xml:space="preserve">PAGE</w:instrText>
      <w:fldChar w:fldCharType="separate"/>
      <w:fldChar w:fldCharType="end"/>
      <w:t xml:space="preserve"> /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91A1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47b3cdd137100d2df4f5ece14a76817a7ebba7c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2026-08-18T21:28:30.770Z</dcterms:created>
  <dcterms:modified xsi:type="dcterms:W3CDTF">2026-08-18T21:28:30.770Z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